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81AC7" w14:textId="77777777" w:rsidR="00F37E43" w:rsidRPr="008C7D1C" w:rsidRDefault="00F37E43" w:rsidP="00F37E43">
      <w:pPr>
        <w:pStyle w:val="Header"/>
        <w:ind w:right="-720"/>
      </w:pPr>
      <w:bookmarkStart w:id="0" w:name="_gjdgxs" w:colFirst="0" w:colLast="0"/>
      <w:bookmarkEnd w:id="0"/>
      <w:r w:rsidRPr="008C7D1C">
        <w:rPr>
          <w:noProof/>
          <w:lang w:eastAsia="en-US"/>
        </w:rPr>
        <w:drawing>
          <wp:inline distT="0" distB="0" distL="0" distR="0" wp14:anchorId="1BE841F3" wp14:editId="3836D248">
            <wp:extent cx="320675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9818" cy="866090"/>
                    </a:xfrm>
                    <a:prstGeom prst="rect">
                      <a:avLst/>
                    </a:prstGeom>
                    <a:noFill/>
                    <a:ln>
                      <a:noFill/>
                    </a:ln>
                  </pic:spPr>
                </pic:pic>
              </a:graphicData>
            </a:graphic>
          </wp:inline>
        </w:drawing>
      </w:r>
      <w:r w:rsidRPr="008C7D1C">
        <w:rPr>
          <w:noProof/>
          <w:lang w:eastAsia="en-US"/>
        </w:rPr>
        <w:drawing>
          <wp:inline distT="0" distB="0" distL="0" distR="0" wp14:anchorId="2A2DE72E" wp14:editId="3E0A8D14">
            <wp:extent cx="683812" cy="858741"/>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12" cy="858741"/>
                    </a:xfrm>
                    <a:prstGeom prst="rect">
                      <a:avLst/>
                    </a:prstGeom>
                    <a:noFill/>
                    <a:ln>
                      <a:noFill/>
                    </a:ln>
                  </pic:spPr>
                </pic:pic>
              </a:graphicData>
            </a:graphic>
          </wp:inline>
        </w:drawing>
      </w:r>
      <w:r w:rsidRPr="008C7D1C">
        <w:rPr>
          <w:noProof/>
          <w:lang w:eastAsia="en-US"/>
        </w:rPr>
        <w:drawing>
          <wp:inline distT="0" distB="0" distL="0" distR="0" wp14:anchorId="35D3090A" wp14:editId="7C0E9720">
            <wp:extent cx="2247900" cy="8572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0219" cy="858134"/>
                    </a:xfrm>
                    <a:prstGeom prst="rect">
                      <a:avLst/>
                    </a:prstGeom>
                    <a:noFill/>
                    <a:ln>
                      <a:noFill/>
                    </a:ln>
                  </pic:spPr>
                </pic:pic>
              </a:graphicData>
            </a:graphic>
          </wp:inline>
        </w:drawing>
      </w:r>
    </w:p>
    <w:p w14:paraId="06B28015" w14:textId="77777777" w:rsidR="002C68AC" w:rsidRDefault="002C68AC" w:rsidP="002C68AC">
      <w:pPr>
        <w:spacing w:after="240"/>
        <w:rPr>
          <w:rFonts w:ascii="Times New Roman" w:eastAsia="Times New Roman" w:hAnsi="Times New Roman"/>
        </w:rPr>
      </w:pPr>
    </w:p>
    <w:p w14:paraId="25D8FAD4" w14:textId="0996E64C" w:rsidR="00FB59F1" w:rsidRPr="004B5611" w:rsidRDefault="00FB59F1" w:rsidP="00FB59F1">
      <w:pPr>
        <w:rPr>
          <w:rFonts w:asciiTheme="majorHAnsi" w:hAnsiTheme="majorHAnsi"/>
          <w:bCs/>
          <w:color w:val="000000" w:themeColor="text1"/>
          <w:szCs w:val="18"/>
        </w:rPr>
      </w:pPr>
      <w:r w:rsidRPr="004B5611">
        <w:rPr>
          <w:rFonts w:asciiTheme="majorHAnsi" w:hAnsiTheme="majorHAnsi"/>
          <w:bCs/>
          <w:color w:val="000000" w:themeColor="text1"/>
          <w:szCs w:val="18"/>
        </w:rPr>
        <w:t>August 1</w:t>
      </w:r>
      <w:r w:rsidR="00A12EFB">
        <w:rPr>
          <w:rFonts w:asciiTheme="majorHAnsi" w:hAnsiTheme="majorHAnsi"/>
          <w:bCs/>
          <w:color w:val="000000" w:themeColor="text1"/>
          <w:szCs w:val="18"/>
        </w:rPr>
        <w:t>2</w:t>
      </w:r>
      <w:bookmarkStart w:id="1" w:name="_GoBack"/>
      <w:bookmarkEnd w:id="1"/>
      <w:r w:rsidRPr="004B5611">
        <w:rPr>
          <w:rFonts w:asciiTheme="majorHAnsi" w:hAnsiTheme="majorHAnsi"/>
          <w:bCs/>
          <w:color w:val="000000" w:themeColor="text1"/>
          <w:szCs w:val="18"/>
        </w:rPr>
        <w:t>, 2019</w:t>
      </w:r>
    </w:p>
    <w:p w14:paraId="03C8E125" w14:textId="77777777" w:rsidR="00FB59F1" w:rsidRPr="00F37E43" w:rsidRDefault="00FB59F1">
      <w:pPr>
        <w:rPr>
          <w:rFonts w:asciiTheme="majorHAnsi" w:hAnsiTheme="majorHAnsi"/>
          <w:b/>
          <w:sz w:val="28"/>
          <w:szCs w:val="20"/>
        </w:rPr>
      </w:pPr>
    </w:p>
    <w:p w14:paraId="20E68E3A" w14:textId="30F8E680" w:rsidR="008D1040" w:rsidRDefault="003C1571" w:rsidP="00F37E43">
      <w:pPr>
        <w:jc w:val="center"/>
        <w:rPr>
          <w:rFonts w:asciiTheme="majorHAnsi" w:hAnsiTheme="majorHAnsi"/>
          <w:b/>
          <w:color w:val="FF0000"/>
          <w:sz w:val="36"/>
        </w:rPr>
      </w:pPr>
      <w:r w:rsidRPr="00BE6D54">
        <w:rPr>
          <w:rFonts w:asciiTheme="majorHAnsi" w:hAnsiTheme="majorHAnsi"/>
          <w:b/>
          <w:sz w:val="36"/>
        </w:rPr>
        <w:t>WSSA Statement on Glyphosate</w:t>
      </w:r>
    </w:p>
    <w:p w14:paraId="14EB26DE" w14:textId="77777777" w:rsidR="00FB59F1" w:rsidRDefault="00FB59F1">
      <w:pPr>
        <w:rPr>
          <w:rFonts w:asciiTheme="majorHAnsi" w:hAnsiTheme="majorHAnsi"/>
          <w:bCs/>
          <w:color w:val="FF0000"/>
          <w:szCs w:val="18"/>
        </w:rPr>
      </w:pPr>
    </w:p>
    <w:p w14:paraId="21186ACE" w14:textId="77777777" w:rsidR="008D1040" w:rsidRPr="00D71C49" w:rsidRDefault="003C1571">
      <w:pPr>
        <w:rPr>
          <w:rFonts w:asciiTheme="majorHAnsi" w:hAnsiTheme="majorHAnsi"/>
        </w:rPr>
      </w:pPr>
      <w:r w:rsidRPr="00D71C49">
        <w:rPr>
          <w:rFonts w:asciiTheme="majorHAnsi" w:hAnsiTheme="majorHAnsi"/>
        </w:rPr>
        <w:t xml:space="preserve">Glyphosate is a uniquely effective </w:t>
      </w:r>
      <w:r w:rsidR="00B81682">
        <w:rPr>
          <w:rFonts w:asciiTheme="majorHAnsi" w:hAnsiTheme="majorHAnsi"/>
        </w:rPr>
        <w:t xml:space="preserve">and generally nonselective </w:t>
      </w:r>
      <w:r w:rsidRPr="00D71C49">
        <w:rPr>
          <w:rFonts w:asciiTheme="majorHAnsi" w:hAnsiTheme="majorHAnsi"/>
        </w:rPr>
        <w:t xml:space="preserve">herbicide with a wide range of uses in </w:t>
      </w:r>
      <w:r w:rsidR="009E288A">
        <w:rPr>
          <w:rFonts w:asciiTheme="majorHAnsi" w:hAnsiTheme="majorHAnsi"/>
        </w:rPr>
        <w:t xml:space="preserve">both </w:t>
      </w:r>
      <w:r w:rsidRPr="00D71C49">
        <w:rPr>
          <w:rFonts w:asciiTheme="majorHAnsi" w:hAnsiTheme="majorHAnsi"/>
        </w:rPr>
        <w:t>agricultur</w:t>
      </w:r>
      <w:r w:rsidR="0054588C" w:rsidRPr="00D71C49">
        <w:rPr>
          <w:rFonts w:asciiTheme="majorHAnsi" w:hAnsiTheme="majorHAnsi"/>
        </w:rPr>
        <w:t>al</w:t>
      </w:r>
      <w:r w:rsidRPr="00D71C49">
        <w:rPr>
          <w:rFonts w:asciiTheme="majorHAnsi" w:hAnsiTheme="majorHAnsi"/>
        </w:rPr>
        <w:t xml:space="preserve"> and nonagricultural settings. It has been widely adopted in conjunction with glyphosate-resistant (‘Roundup Ready’) </w:t>
      </w:r>
      <w:r w:rsidR="0018477D" w:rsidRPr="00D71C49">
        <w:rPr>
          <w:rFonts w:asciiTheme="majorHAnsi" w:hAnsiTheme="majorHAnsi"/>
        </w:rPr>
        <w:t xml:space="preserve">crops, </w:t>
      </w:r>
      <w:r w:rsidR="00794FF0">
        <w:rPr>
          <w:rFonts w:asciiTheme="majorHAnsi" w:hAnsiTheme="majorHAnsi"/>
        </w:rPr>
        <w:t>and</w:t>
      </w:r>
      <w:r w:rsidR="00794FF0" w:rsidRPr="00D71C49">
        <w:rPr>
          <w:rFonts w:asciiTheme="majorHAnsi" w:hAnsiTheme="majorHAnsi"/>
        </w:rPr>
        <w:t xml:space="preserve"> </w:t>
      </w:r>
      <w:r w:rsidRPr="00D71C49">
        <w:rPr>
          <w:rFonts w:asciiTheme="majorHAnsi" w:hAnsiTheme="majorHAnsi"/>
        </w:rPr>
        <w:t>is also commonly used</w:t>
      </w:r>
      <w:r w:rsidR="00794FF0">
        <w:rPr>
          <w:rFonts w:asciiTheme="majorHAnsi" w:hAnsiTheme="majorHAnsi"/>
        </w:rPr>
        <w:t xml:space="preserve"> to manage weeds</w:t>
      </w:r>
      <w:r w:rsidRPr="00D71C49">
        <w:rPr>
          <w:rFonts w:asciiTheme="majorHAnsi" w:hAnsiTheme="majorHAnsi"/>
        </w:rPr>
        <w:t xml:space="preserve"> in </w:t>
      </w:r>
      <w:r w:rsidR="004C397C">
        <w:rPr>
          <w:rFonts w:asciiTheme="majorHAnsi" w:hAnsiTheme="majorHAnsi"/>
        </w:rPr>
        <w:t>conservation tillage crop production</w:t>
      </w:r>
      <w:r w:rsidR="00B81682">
        <w:rPr>
          <w:rFonts w:asciiTheme="majorHAnsi" w:hAnsiTheme="majorHAnsi"/>
        </w:rPr>
        <w:t>, resulting in significant soil</w:t>
      </w:r>
      <w:r w:rsidR="00BA7EF5">
        <w:rPr>
          <w:rFonts w:asciiTheme="majorHAnsi" w:hAnsiTheme="majorHAnsi"/>
        </w:rPr>
        <w:t xml:space="preserve"> improvement and</w:t>
      </w:r>
      <w:r w:rsidR="00B81682">
        <w:rPr>
          <w:rFonts w:asciiTheme="majorHAnsi" w:hAnsiTheme="majorHAnsi"/>
        </w:rPr>
        <w:t xml:space="preserve"> savings.  Glyphosate is used in </w:t>
      </w:r>
      <w:r w:rsidRPr="00D71C49">
        <w:rPr>
          <w:rFonts w:asciiTheme="majorHAnsi" w:hAnsiTheme="majorHAnsi"/>
        </w:rPr>
        <w:t>orchards and vineyards, aquatic settings, fallow and noncrop</w:t>
      </w:r>
      <w:r w:rsidR="002C68AC" w:rsidRPr="00D71C49">
        <w:rPr>
          <w:rFonts w:asciiTheme="majorHAnsi" w:hAnsiTheme="majorHAnsi"/>
        </w:rPr>
        <w:t xml:space="preserve"> fields</w:t>
      </w:r>
      <w:r w:rsidRPr="00D71C49">
        <w:rPr>
          <w:rFonts w:asciiTheme="majorHAnsi" w:hAnsiTheme="majorHAnsi"/>
        </w:rPr>
        <w:t>, and around homes and gardens. Because of its effectiveness and other desirable characteristics, glyphosate has become the most widely used synthetic herbicide in human history.</w:t>
      </w:r>
    </w:p>
    <w:p w14:paraId="40C61510" w14:textId="77777777" w:rsidR="008D1040" w:rsidRPr="00D71C49" w:rsidRDefault="008D1040">
      <w:pPr>
        <w:rPr>
          <w:rFonts w:asciiTheme="majorHAnsi" w:hAnsiTheme="majorHAnsi"/>
        </w:rPr>
      </w:pPr>
    </w:p>
    <w:p w14:paraId="0A22D172" w14:textId="16A6BF7A" w:rsidR="002C68AC" w:rsidRPr="00D71C49" w:rsidRDefault="003C1571">
      <w:pPr>
        <w:rPr>
          <w:rFonts w:asciiTheme="majorHAnsi" w:hAnsiTheme="majorHAnsi"/>
        </w:rPr>
      </w:pPr>
      <w:r w:rsidRPr="00D71C49">
        <w:rPr>
          <w:rFonts w:asciiTheme="majorHAnsi" w:hAnsiTheme="majorHAnsi"/>
        </w:rPr>
        <w:t xml:space="preserve">In 2015, glyphosate was classified as a </w:t>
      </w:r>
      <w:r w:rsidR="009E288A">
        <w:rPr>
          <w:rFonts w:asciiTheme="majorHAnsi" w:hAnsiTheme="majorHAnsi"/>
        </w:rPr>
        <w:t>“</w:t>
      </w:r>
      <w:r w:rsidRPr="00D71C49">
        <w:rPr>
          <w:rFonts w:asciiTheme="majorHAnsi" w:hAnsiTheme="majorHAnsi"/>
        </w:rPr>
        <w:t xml:space="preserve">probable </w:t>
      </w:r>
      <w:r w:rsidR="002C68AC" w:rsidRPr="00D71C49">
        <w:rPr>
          <w:rFonts w:asciiTheme="majorHAnsi" w:hAnsiTheme="majorHAnsi"/>
        </w:rPr>
        <w:t xml:space="preserve">carcinogen” </w:t>
      </w:r>
      <w:r w:rsidRPr="00D71C49">
        <w:rPr>
          <w:rFonts w:asciiTheme="majorHAnsi" w:hAnsiTheme="majorHAnsi"/>
        </w:rPr>
        <w:t>by the International Agency for Research on Cancer (IARC</w:t>
      </w:r>
      <w:r w:rsidR="0018477D" w:rsidRPr="00D71C49">
        <w:rPr>
          <w:rFonts w:asciiTheme="majorHAnsi" w:hAnsiTheme="majorHAnsi"/>
        </w:rPr>
        <w:t>)</w:t>
      </w:r>
      <w:r w:rsidR="0018477D">
        <w:rPr>
          <w:rFonts w:asciiTheme="majorHAnsi" w:hAnsiTheme="majorHAnsi"/>
        </w:rPr>
        <w:t>.</w:t>
      </w:r>
      <w:r w:rsidR="0018477D" w:rsidRPr="00D71C49">
        <w:rPr>
          <w:rFonts w:asciiTheme="majorHAnsi" w:hAnsiTheme="majorHAnsi"/>
        </w:rPr>
        <w:t xml:space="preserve"> IARC has </w:t>
      </w:r>
      <w:r w:rsidR="0018477D">
        <w:rPr>
          <w:rFonts w:asciiTheme="majorHAnsi" w:hAnsiTheme="majorHAnsi"/>
        </w:rPr>
        <w:t>applied</w:t>
      </w:r>
      <w:r w:rsidR="0018477D" w:rsidRPr="00D71C49">
        <w:rPr>
          <w:rFonts w:asciiTheme="majorHAnsi" w:hAnsiTheme="majorHAnsi"/>
        </w:rPr>
        <w:t xml:space="preserve"> </w:t>
      </w:r>
      <w:r w:rsidRPr="00D71C49">
        <w:rPr>
          <w:rFonts w:asciiTheme="majorHAnsi" w:hAnsiTheme="majorHAnsi"/>
        </w:rPr>
        <w:t xml:space="preserve">the same classification </w:t>
      </w:r>
      <w:r w:rsidR="002C68AC" w:rsidRPr="00D71C49">
        <w:rPr>
          <w:rFonts w:asciiTheme="majorHAnsi" w:hAnsiTheme="majorHAnsi"/>
        </w:rPr>
        <w:t xml:space="preserve">to </w:t>
      </w:r>
      <w:r w:rsidRPr="00D71C49">
        <w:rPr>
          <w:rFonts w:asciiTheme="majorHAnsi" w:hAnsiTheme="majorHAnsi"/>
        </w:rPr>
        <w:t xml:space="preserve">red meat, hot beverages, and emissions from high-temperature frying, </w:t>
      </w:r>
      <w:r w:rsidR="002C68AC" w:rsidRPr="00D71C49">
        <w:rPr>
          <w:rFonts w:asciiTheme="majorHAnsi" w:hAnsiTheme="majorHAnsi"/>
        </w:rPr>
        <w:t>as well as to more than</w:t>
      </w:r>
      <w:r w:rsidRPr="00D71C49">
        <w:rPr>
          <w:rFonts w:asciiTheme="majorHAnsi" w:hAnsiTheme="majorHAnsi"/>
        </w:rPr>
        <w:t xml:space="preserve"> 70 other chemicals. This designation has caused widespread </w:t>
      </w:r>
      <w:r w:rsidR="002C68AC" w:rsidRPr="00D71C49">
        <w:rPr>
          <w:rFonts w:asciiTheme="majorHAnsi" w:hAnsiTheme="majorHAnsi"/>
        </w:rPr>
        <w:t xml:space="preserve">public </w:t>
      </w:r>
      <w:r w:rsidRPr="00D71C49">
        <w:rPr>
          <w:rFonts w:asciiTheme="majorHAnsi" w:hAnsiTheme="majorHAnsi"/>
        </w:rPr>
        <w:t>concern about the safety of glyphosate</w:t>
      </w:r>
      <w:r w:rsidR="008B11BF">
        <w:rPr>
          <w:rFonts w:asciiTheme="majorHAnsi" w:hAnsiTheme="majorHAnsi"/>
        </w:rPr>
        <w:t xml:space="preserve"> while being the </w:t>
      </w:r>
      <w:r w:rsidR="00DA5AED">
        <w:rPr>
          <w:rFonts w:asciiTheme="majorHAnsi" w:hAnsiTheme="majorHAnsi"/>
        </w:rPr>
        <w:t xml:space="preserve">recent </w:t>
      </w:r>
      <w:r w:rsidR="00076889">
        <w:rPr>
          <w:rFonts w:asciiTheme="majorHAnsi" w:hAnsiTheme="majorHAnsi"/>
        </w:rPr>
        <w:t>focus</w:t>
      </w:r>
      <w:r w:rsidR="008B11BF">
        <w:rPr>
          <w:rFonts w:asciiTheme="majorHAnsi" w:hAnsiTheme="majorHAnsi"/>
        </w:rPr>
        <w:t xml:space="preserve"> of multiple lawsuits.</w:t>
      </w:r>
    </w:p>
    <w:p w14:paraId="74C9B297" w14:textId="77777777" w:rsidR="00185118" w:rsidRDefault="00185118" w:rsidP="00185118">
      <w:pPr>
        <w:rPr>
          <w:rFonts w:asciiTheme="majorHAnsi" w:hAnsiTheme="majorHAnsi"/>
        </w:rPr>
      </w:pPr>
    </w:p>
    <w:p w14:paraId="78D54330" w14:textId="5A006BB1" w:rsidR="00185118" w:rsidRDefault="00185118" w:rsidP="00185118">
      <w:pPr>
        <w:rPr>
          <w:rFonts w:asciiTheme="majorHAnsi" w:hAnsiTheme="majorHAnsi"/>
        </w:rPr>
      </w:pPr>
      <w:r w:rsidRPr="00D71C49">
        <w:rPr>
          <w:rFonts w:asciiTheme="majorHAnsi" w:hAnsiTheme="majorHAnsi"/>
        </w:rPr>
        <w:t>Although WSSA</w:t>
      </w:r>
      <w:r>
        <w:rPr>
          <w:rFonts w:asciiTheme="majorHAnsi" w:hAnsiTheme="majorHAnsi"/>
        </w:rPr>
        <w:t xml:space="preserve"> members are not </w:t>
      </w:r>
      <w:r w:rsidRPr="00D71C49">
        <w:rPr>
          <w:rFonts w:asciiTheme="majorHAnsi" w:hAnsiTheme="majorHAnsi"/>
        </w:rPr>
        <w:t>experts in human toxicology and epidemiology, we appreciate the rigorous</w:t>
      </w:r>
      <w:r>
        <w:rPr>
          <w:rFonts w:asciiTheme="majorHAnsi" w:hAnsiTheme="majorHAnsi"/>
        </w:rPr>
        <w:t>, transparent, and</w:t>
      </w:r>
      <w:r w:rsidRPr="00D71C49">
        <w:rPr>
          <w:rFonts w:asciiTheme="majorHAnsi" w:hAnsiTheme="majorHAnsi"/>
        </w:rPr>
        <w:t xml:space="preserve"> </w:t>
      </w:r>
      <w:r>
        <w:rPr>
          <w:rFonts w:asciiTheme="majorHAnsi" w:hAnsiTheme="majorHAnsi"/>
        </w:rPr>
        <w:t xml:space="preserve">risk-based </w:t>
      </w:r>
      <w:r w:rsidRPr="00D71C49">
        <w:rPr>
          <w:rFonts w:asciiTheme="majorHAnsi" w:hAnsiTheme="majorHAnsi"/>
        </w:rPr>
        <w:t xml:space="preserve">review process undertaken by </w:t>
      </w:r>
      <w:r>
        <w:rPr>
          <w:rFonts w:asciiTheme="majorHAnsi" w:hAnsiTheme="majorHAnsi"/>
        </w:rPr>
        <w:t xml:space="preserve">the U.S. </w:t>
      </w:r>
      <w:r w:rsidRPr="00D71C49">
        <w:rPr>
          <w:rFonts w:asciiTheme="majorHAnsi" w:hAnsiTheme="majorHAnsi"/>
        </w:rPr>
        <w:t>E</w:t>
      </w:r>
      <w:r>
        <w:rPr>
          <w:rFonts w:asciiTheme="majorHAnsi" w:hAnsiTheme="majorHAnsi"/>
        </w:rPr>
        <w:t xml:space="preserve">nvironmental </w:t>
      </w:r>
      <w:r w:rsidRPr="00D71C49">
        <w:rPr>
          <w:rFonts w:asciiTheme="majorHAnsi" w:hAnsiTheme="majorHAnsi"/>
        </w:rPr>
        <w:t>P</w:t>
      </w:r>
      <w:r>
        <w:rPr>
          <w:rFonts w:asciiTheme="majorHAnsi" w:hAnsiTheme="majorHAnsi"/>
        </w:rPr>
        <w:t xml:space="preserve">rotection </w:t>
      </w:r>
      <w:r w:rsidRPr="00D71C49">
        <w:rPr>
          <w:rFonts w:asciiTheme="majorHAnsi" w:hAnsiTheme="majorHAnsi"/>
        </w:rPr>
        <w:t>A</w:t>
      </w:r>
      <w:r>
        <w:rPr>
          <w:rFonts w:asciiTheme="majorHAnsi" w:hAnsiTheme="majorHAnsi"/>
        </w:rPr>
        <w:t>gency (EPA)</w:t>
      </w:r>
      <w:r w:rsidRPr="00D71C49">
        <w:rPr>
          <w:rFonts w:asciiTheme="majorHAnsi" w:hAnsiTheme="majorHAnsi"/>
        </w:rPr>
        <w:t xml:space="preserve"> as mandated by the Food Quality Protection Act (FQPA) and the Federal Insecticide, Fungicide, and Rodenticide Act (FIFRA). These statutes specify that when setting </w:t>
      </w:r>
      <w:r>
        <w:rPr>
          <w:rFonts w:asciiTheme="majorHAnsi" w:hAnsiTheme="majorHAnsi"/>
        </w:rPr>
        <w:t>exposure</w:t>
      </w:r>
      <w:r w:rsidRPr="00D71C49">
        <w:rPr>
          <w:rFonts w:asciiTheme="majorHAnsi" w:hAnsiTheme="majorHAnsi"/>
        </w:rPr>
        <w:t xml:space="preserve"> tolerances, any proposed use of a pesticide should provide a “</w:t>
      </w:r>
      <w:r w:rsidRPr="00D71C49">
        <w:rPr>
          <w:rFonts w:asciiTheme="majorHAnsi" w:hAnsiTheme="majorHAnsi"/>
          <w:i/>
        </w:rPr>
        <w:t>reasonable certainty of no harm</w:t>
      </w:r>
      <w:r w:rsidRPr="00D71C49">
        <w:rPr>
          <w:rFonts w:asciiTheme="majorHAnsi" w:hAnsiTheme="majorHAnsi"/>
        </w:rPr>
        <w:t>” and that using the pesticide as directed “</w:t>
      </w:r>
      <w:r w:rsidRPr="00D71C49">
        <w:rPr>
          <w:rFonts w:asciiTheme="majorHAnsi" w:hAnsiTheme="majorHAnsi"/>
          <w:i/>
        </w:rPr>
        <w:t>will not generally cause unreasonable adverse effects</w:t>
      </w:r>
      <w:r w:rsidRPr="00D71C49">
        <w:rPr>
          <w:rFonts w:asciiTheme="majorHAnsi" w:hAnsiTheme="majorHAnsi"/>
        </w:rPr>
        <w:t xml:space="preserve">” to humans or the environment. FIFRA states that when considering these risks, </w:t>
      </w:r>
      <w:r>
        <w:rPr>
          <w:rFonts w:asciiTheme="majorHAnsi" w:hAnsiTheme="majorHAnsi"/>
        </w:rPr>
        <w:t xml:space="preserve">the </w:t>
      </w:r>
      <w:r w:rsidRPr="00D71C49">
        <w:rPr>
          <w:rFonts w:asciiTheme="majorHAnsi" w:hAnsiTheme="majorHAnsi"/>
        </w:rPr>
        <w:t>EPA must consider “</w:t>
      </w:r>
      <w:r w:rsidRPr="00D71C49">
        <w:rPr>
          <w:rFonts w:asciiTheme="majorHAnsi" w:hAnsiTheme="majorHAnsi"/>
          <w:i/>
        </w:rPr>
        <w:t>the economic, social, and environmental costs and benefits of the use of any pesticide</w:t>
      </w:r>
      <w:r w:rsidRPr="00D71C49">
        <w:rPr>
          <w:rFonts w:asciiTheme="majorHAnsi" w:hAnsiTheme="majorHAnsi"/>
        </w:rPr>
        <w:t xml:space="preserve">.” </w:t>
      </w:r>
      <w:r>
        <w:rPr>
          <w:rFonts w:asciiTheme="majorHAnsi" w:hAnsiTheme="majorHAnsi"/>
        </w:rPr>
        <w:t xml:space="preserve">The EPA review process is substantially </w:t>
      </w:r>
      <w:r w:rsidR="00DA5AED">
        <w:rPr>
          <w:rFonts w:asciiTheme="majorHAnsi" w:hAnsiTheme="majorHAnsi"/>
        </w:rPr>
        <w:t xml:space="preserve">broader in scope than </w:t>
      </w:r>
      <w:r>
        <w:rPr>
          <w:rFonts w:asciiTheme="majorHAnsi" w:hAnsiTheme="majorHAnsi"/>
        </w:rPr>
        <w:t>the more limited hazard-based assessment conducted by IARC.</w:t>
      </w:r>
    </w:p>
    <w:p w14:paraId="287F7DDA" w14:textId="77777777" w:rsidR="00185118" w:rsidRDefault="00185118" w:rsidP="00185118">
      <w:pPr>
        <w:rPr>
          <w:rFonts w:asciiTheme="majorHAnsi" w:hAnsiTheme="majorHAnsi"/>
        </w:rPr>
      </w:pPr>
    </w:p>
    <w:p w14:paraId="3E0BDFF3" w14:textId="77777777" w:rsidR="0018477D" w:rsidRDefault="004379A2" w:rsidP="00185118">
      <w:pPr>
        <w:rPr>
          <w:rFonts w:asciiTheme="majorHAnsi" w:hAnsiTheme="majorHAnsi"/>
        </w:rPr>
      </w:pPr>
      <w:r>
        <w:rPr>
          <w:rFonts w:asciiTheme="majorHAnsi" w:hAnsiTheme="majorHAnsi"/>
        </w:rPr>
        <w:t>A</w:t>
      </w:r>
      <w:r w:rsidR="00185118">
        <w:rPr>
          <w:rFonts w:asciiTheme="majorHAnsi" w:hAnsiTheme="majorHAnsi"/>
        </w:rPr>
        <w:t>fter reviewing the best evidence available,</w:t>
      </w:r>
      <w:r w:rsidR="00185118" w:rsidRPr="00D71C49">
        <w:rPr>
          <w:rFonts w:asciiTheme="majorHAnsi" w:hAnsiTheme="majorHAnsi"/>
        </w:rPr>
        <w:t xml:space="preserve"> </w:t>
      </w:r>
      <w:r>
        <w:rPr>
          <w:rFonts w:asciiTheme="majorHAnsi" w:hAnsiTheme="majorHAnsi"/>
        </w:rPr>
        <w:t>r</w:t>
      </w:r>
      <w:r w:rsidRPr="00D71C49">
        <w:rPr>
          <w:rFonts w:asciiTheme="majorHAnsi" w:hAnsiTheme="majorHAnsi"/>
        </w:rPr>
        <w:t>egulatory bodies around the world</w:t>
      </w:r>
      <w:r>
        <w:rPr>
          <w:rFonts w:asciiTheme="majorHAnsi" w:hAnsiTheme="majorHAnsi"/>
        </w:rPr>
        <w:t xml:space="preserve"> </w:t>
      </w:r>
      <w:r w:rsidR="00185118" w:rsidRPr="00D71C49">
        <w:rPr>
          <w:rFonts w:asciiTheme="majorHAnsi" w:hAnsiTheme="majorHAnsi"/>
        </w:rPr>
        <w:t>have consistently concluded that</w:t>
      </w:r>
      <w:r w:rsidR="00185118">
        <w:rPr>
          <w:rFonts w:asciiTheme="majorHAnsi" w:hAnsiTheme="majorHAnsi"/>
        </w:rPr>
        <w:t xml:space="preserve"> </w:t>
      </w:r>
      <w:r w:rsidR="00185118" w:rsidRPr="00D71C49">
        <w:rPr>
          <w:rFonts w:asciiTheme="majorHAnsi" w:hAnsiTheme="majorHAnsi"/>
        </w:rPr>
        <w:t xml:space="preserve">glyphosate-based herbicides are </w:t>
      </w:r>
      <w:r w:rsidR="006D1708" w:rsidRPr="001117CC">
        <w:rPr>
          <w:rFonts w:asciiTheme="majorHAnsi" w:hAnsiTheme="majorHAnsi"/>
          <w:i/>
        </w:rPr>
        <w:t>not</w:t>
      </w:r>
      <w:r w:rsidR="006D1708" w:rsidRPr="00D71C49">
        <w:rPr>
          <w:rFonts w:asciiTheme="majorHAnsi" w:hAnsiTheme="majorHAnsi"/>
        </w:rPr>
        <w:t xml:space="preserve"> likely</w:t>
      </w:r>
      <w:r w:rsidR="00185118">
        <w:rPr>
          <w:rFonts w:asciiTheme="majorHAnsi" w:hAnsiTheme="majorHAnsi"/>
        </w:rPr>
        <w:t xml:space="preserve"> to be</w:t>
      </w:r>
      <w:r w:rsidR="006D1708" w:rsidRPr="00D71C49">
        <w:rPr>
          <w:rFonts w:asciiTheme="majorHAnsi" w:hAnsiTheme="majorHAnsi"/>
        </w:rPr>
        <w:t xml:space="preserve"> carcinogenic</w:t>
      </w:r>
      <w:r w:rsidR="00794FF0">
        <w:rPr>
          <w:rFonts w:asciiTheme="majorHAnsi" w:hAnsiTheme="majorHAnsi"/>
        </w:rPr>
        <w:t>. These agencies</w:t>
      </w:r>
      <w:r w:rsidR="006D1708" w:rsidRPr="00D71C49">
        <w:rPr>
          <w:rFonts w:asciiTheme="majorHAnsi" w:hAnsiTheme="majorHAnsi"/>
        </w:rPr>
        <w:t xml:space="preserve"> </w:t>
      </w:r>
      <w:r w:rsidR="00AB5DAE" w:rsidRPr="00D71C49">
        <w:rPr>
          <w:rFonts w:asciiTheme="majorHAnsi" w:hAnsiTheme="majorHAnsi"/>
        </w:rPr>
        <w:t>include</w:t>
      </w:r>
      <w:r w:rsidR="003C1571" w:rsidRPr="00D71C49">
        <w:rPr>
          <w:rFonts w:asciiTheme="majorHAnsi" w:hAnsiTheme="majorHAnsi"/>
        </w:rPr>
        <w:t xml:space="preserve"> the </w:t>
      </w:r>
      <w:r w:rsidR="002C68AC" w:rsidRPr="00D71C49">
        <w:rPr>
          <w:rFonts w:asciiTheme="majorHAnsi" w:hAnsiTheme="majorHAnsi"/>
        </w:rPr>
        <w:t xml:space="preserve">U.S. </w:t>
      </w:r>
      <w:r w:rsidR="003C1571" w:rsidRPr="00D71C49">
        <w:rPr>
          <w:rFonts w:asciiTheme="majorHAnsi" w:hAnsiTheme="majorHAnsi"/>
        </w:rPr>
        <w:t>Environmental Protection Agency (EPA)</w:t>
      </w:r>
      <w:r w:rsidR="00180E56">
        <w:rPr>
          <w:rFonts w:asciiTheme="majorHAnsi" w:hAnsiTheme="majorHAnsi"/>
        </w:rPr>
        <w:t>, the Canadian Pest Management Regulatory Agency,</w:t>
      </w:r>
      <w:r w:rsidR="003C1571" w:rsidRPr="00D71C49">
        <w:rPr>
          <w:rFonts w:asciiTheme="majorHAnsi" w:hAnsiTheme="majorHAnsi"/>
        </w:rPr>
        <w:t xml:space="preserve"> and the European Food Safety Authority (EFSA)</w:t>
      </w:r>
      <w:r w:rsidR="006D1708">
        <w:rPr>
          <w:rFonts w:asciiTheme="majorHAnsi" w:hAnsiTheme="majorHAnsi"/>
        </w:rPr>
        <w:t>.</w:t>
      </w:r>
      <w:r w:rsidR="003C1571" w:rsidRPr="00D71C49">
        <w:rPr>
          <w:rFonts w:asciiTheme="majorHAnsi" w:hAnsiTheme="majorHAnsi"/>
        </w:rPr>
        <w:t xml:space="preserve"> </w:t>
      </w:r>
      <w:r w:rsidR="003C1571" w:rsidRPr="00F37E43">
        <w:rPr>
          <w:rFonts w:asciiTheme="majorHAnsi" w:hAnsiTheme="majorHAnsi"/>
        </w:rPr>
        <w:t xml:space="preserve">Additionally, </w:t>
      </w:r>
      <w:r w:rsidR="009E288A" w:rsidRPr="00F37E43">
        <w:rPr>
          <w:rFonts w:asciiTheme="majorHAnsi" w:hAnsiTheme="majorHAnsi"/>
        </w:rPr>
        <w:t xml:space="preserve">an </w:t>
      </w:r>
      <w:r w:rsidR="003C1571" w:rsidRPr="00F37E43">
        <w:rPr>
          <w:rFonts w:asciiTheme="majorHAnsi" w:hAnsiTheme="majorHAnsi"/>
        </w:rPr>
        <w:t>independent 2018 Agricultural Health Study</w:t>
      </w:r>
      <w:r w:rsidR="009E288A" w:rsidRPr="00F37E43">
        <w:rPr>
          <w:rFonts w:asciiTheme="majorHAnsi" w:hAnsiTheme="majorHAnsi"/>
        </w:rPr>
        <w:t xml:space="preserve"> supported by U.S. National Cancer Institute</w:t>
      </w:r>
      <w:r w:rsidR="006D1708" w:rsidRPr="00F37E43">
        <w:rPr>
          <w:rFonts w:asciiTheme="majorHAnsi" w:hAnsiTheme="majorHAnsi"/>
        </w:rPr>
        <w:t xml:space="preserve"> </w:t>
      </w:r>
      <w:r w:rsidR="003C1571" w:rsidRPr="00F37E43">
        <w:rPr>
          <w:rFonts w:asciiTheme="majorHAnsi" w:hAnsiTheme="majorHAnsi"/>
        </w:rPr>
        <w:t>found no association between glyphosate-based herbicides and cancer.</w:t>
      </w:r>
      <w:r w:rsidR="009E288A" w:rsidRPr="00F37E43">
        <w:rPr>
          <w:rFonts w:asciiTheme="majorHAnsi" w:hAnsiTheme="majorHAnsi"/>
        </w:rPr>
        <w:t xml:space="preserve"> That conclusion was drawn </w:t>
      </w:r>
      <w:r w:rsidR="006D1708" w:rsidRPr="00F37E43">
        <w:rPr>
          <w:rFonts w:asciiTheme="majorHAnsi" w:hAnsiTheme="majorHAnsi"/>
        </w:rPr>
        <w:t>by</w:t>
      </w:r>
      <w:r w:rsidR="009E288A" w:rsidRPr="00F37E43">
        <w:rPr>
          <w:rFonts w:asciiTheme="majorHAnsi" w:hAnsiTheme="majorHAnsi"/>
        </w:rPr>
        <w:t xml:space="preserve"> researchers </w:t>
      </w:r>
      <w:r w:rsidR="008F42A8" w:rsidRPr="00F37E43">
        <w:rPr>
          <w:rFonts w:asciiTheme="majorHAnsi" w:hAnsiTheme="majorHAnsi"/>
        </w:rPr>
        <w:t>who followed</w:t>
      </w:r>
      <w:r w:rsidR="009E288A" w:rsidRPr="00F37E43">
        <w:rPr>
          <w:rFonts w:asciiTheme="majorHAnsi" w:hAnsiTheme="majorHAnsi"/>
        </w:rPr>
        <w:t xml:space="preserve"> the health of more than 50,000 licensed pesticide applicators over more than 20 years.</w:t>
      </w:r>
      <w:r w:rsidR="009E288A" w:rsidRPr="00D71C49">
        <w:rPr>
          <w:rFonts w:asciiTheme="majorHAnsi" w:hAnsiTheme="majorHAnsi"/>
        </w:rPr>
        <w:t xml:space="preserve"> </w:t>
      </w:r>
    </w:p>
    <w:p w14:paraId="689B3941" w14:textId="77777777" w:rsidR="0018477D" w:rsidRDefault="0018477D">
      <w:pPr>
        <w:rPr>
          <w:rFonts w:asciiTheme="majorHAnsi" w:hAnsiTheme="majorHAnsi"/>
        </w:rPr>
      </w:pPr>
    </w:p>
    <w:p w14:paraId="25F0537F" w14:textId="28DE0F72" w:rsidR="009E288A" w:rsidRDefault="009E288A">
      <w:pPr>
        <w:rPr>
          <w:rFonts w:asciiTheme="majorHAnsi" w:hAnsiTheme="majorHAnsi"/>
        </w:rPr>
      </w:pPr>
      <w:r>
        <w:rPr>
          <w:rFonts w:asciiTheme="majorHAnsi" w:hAnsiTheme="majorHAnsi" w:cs="Helvetica"/>
          <w:color w:val="212121"/>
          <w:szCs w:val="26"/>
          <w:shd w:val="clear" w:color="auto" w:fill="FFFFFF"/>
        </w:rPr>
        <w:t xml:space="preserve">As part of its </w:t>
      </w:r>
      <w:r w:rsidR="006C260D">
        <w:rPr>
          <w:rFonts w:asciiTheme="majorHAnsi" w:hAnsiTheme="majorHAnsi" w:cs="Helvetica"/>
          <w:color w:val="212121"/>
          <w:szCs w:val="26"/>
          <w:shd w:val="clear" w:color="auto" w:fill="FFFFFF"/>
        </w:rPr>
        <w:t xml:space="preserve">standard </w:t>
      </w:r>
      <w:r>
        <w:rPr>
          <w:rFonts w:asciiTheme="majorHAnsi" w:hAnsiTheme="majorHAnsi" w:cs="Helvetica"/>
          <w:color w:val="212121"/>
          <w:szCs w:val="26"/>
          <w:shd w:val="clear" w:color="auto" w:fill="FFFFFF"/>
        </w:rPr>
        <w:t xml:space="preserve">periodic </w:t>
      </w:r>
      <w:r w:rsidR="006D1708">
        <w:rPr>
          <w:rFonts w:asciiTheme="majorHAnsi" w:hAnsiTheme="majorHAnsi" w:cs="Helvetica"/>
          <w:color w:val="212121"/>
          <w:szCs w:val="26"/>
          <w:shd w:val="clear" w:color="auto" w:fill="FFFFFF"/>
        </w:rPr>
        <w:t>assessment</w:t>
      </w:r>
      <w:r>
        <w:rPr>
          <w:rFonts w:asciiTheme="majorHAnsi" w:hAnsiTheme="majorHAnsi" w:cs="Helvetica"/>
          <w:color w:val="212121"/>
          <w:szCs w:val="26"/>
          <w:shd w:val="clear" w:color="auto" w:fill="FFFFFF"/>
        </w:rPr>
        <w:t xml:space="preserve"> of </w:t>
      </w:r>
      <w:r w:rsidR="006D1708">
        <w:rPr>
          <w:rFonts w:asciiTheme="majorHAnsi" w:hAnsiTheme="majorHAnsi" w:cs="Helvetica"/>
          <w:color w:val="212121"/>
          <w:szCs w:val="26"/>
          <w:shd w:val="clear" w:color="auto" w:fill="FFFFFF"/>
        </w:rPr>
        <w:t xml:space="preserve">previously </w:t>
      </w:r>
      <w:r>
        <w:rPr>
          <w:rFonts w:asciiTheme="majorHAnsi" w:hAnsiTheme="majorHAnsi" w:cs="Helvetica"/>
          <w:color w:val="212121"/>
          <w:szCs w:val="26"/>
          <w:shd w:val="clear" w:color="auto" w:fill="FFFFFF"/>
        </w:rPr>
        <w:t>registered</w:t>
      </w:r>
      <w:r w:rsidR="00A177FA" w:rsidRPr="001117CC">
        <w:rPr>
          <w:rFonts w:asciiTheme="majorHAnsi" w:hAnsiTheme="majorHAnsi" w:cs="Helvetica"/>
          <w:color w:val="212121"/>
          <w:szCs w:val="26"/>
          <w:shd w:val="clear" w:color="auto" w:fill="FFFFFF"/>
        </w:rPr>
        <w:t xml:space="preserve"> herbicide</w:t>
      </w:r>
      <w:r>
        <w:rPr>
          <w:rFonts w:asciiTheme="majorHAnsi" w:hAnsiTheme="majorHAnsi" w:cs="Helvetica"/>
          <w:color w:val="212121"/>
          <w:szCs w:val="26"/>
          <w:shd w:val="clear" w:color="auto" w:fill="FFFFFF"/>
        </w:rPr>
        <w:t>s</w:t>
      </w:r>
      <w:r w:rsidR="00D57BEB">
        <w:rPr>
          <w:rFonts w:asciiTheme="majorHAnsi" w:hAnsiTheme="majorHAnsi"/>
        </w:rPr>
        <w:t>,</w:t>
      </w:r>
      <w:r w:rsidR="0018477D" w:rsidRPr="00D71C49">
        <w:rPr>
          <w:rFonts w:asciiTheme="majorHAnsi" w:hAnsiTheme="majorHAnsi"/>
        </w:rPr>
        <w:t xml:space="preserve"> the EPA</w:t>
      </w:r>
      <w:r w:rsidR="00D57BEB">
        <w:rPr>
          <w:rFonts w:asciiTheme="majorHAnsi" w:hAnsiTheme="majorHAnsi"/>
        </w:rPr>
        <w:t xml:space="preserve"> issued a</w:t>
      </w:r>
      <w:r w:rsidR="0018477D" w:rsidRPr="00D71C49">
        <w:rPr>
          <w:rFonts w:asciiTheme="majorHAnsi" w:hAnsiTheme="majorHAnsi"/>
        </w:rPr>
        <w:t xml:space="preserve"> </w:t>
      </w:r>
      <w:r w:rsidR="00180E56">
        <w:rPr>
          <w:rFonts w:asciiTheme="majorHAnsi" w:hAnsiTheme="majorHAnsi"/>
        </w:rPr>
        <w:t xml:space="preserve">proposed </w:t>
      </w:r>
      <w:r w:rsidR="0018477D" w:rsidRPr="00D71C49">
        <w:rPr>
          <w:rFonts w:asciiTheme="majorHAnsi" w:hAnsiTheme="majorHAnsi"/>
        </w:rPr>
        <w:t>interim registration review decision</w:t>
      </w:r>
      <w:r w:rsidR="00794FF0">
        <w:rPr>
          <w:rFonts w:asciiTheme="majorHAnsi" w:hAnsiTheme="majorHAnsi"/>
        </w:rPr>
        <w:t xml:space="preserve"> on glyphosate</w:t>
      </w:r>
      <w:r w:rsidR="0018410E">
        <w:rPr>
          <w:rFonts w:asciiTheme="majorHAnsi" w:hAnsiTheme="majorHAnsi"/>
        </w:rPr>
        <w:t xml:space="preserve"> in April 2019</w:t>
      </w:r>
      <w:r w:rsidR="00180E56">
        <w:rPr>
          <w:rFonts w:asciiTheme="majorHAnsi" w:hAnsiTheme="majorHAnsi"/>
        </w:rPr>
        <w:t xml:space="preserve"> (Case Number 0178)</w:t>
      </w:r>
      <w:r w:rsidR="00D57BEB">
        <w:rPr>
          <w:rFonts w:asciiTheme="majorHAnsi" w:hAnsiTheme="majorHAnsi"/>
        </w:rPr>
        <w:t xml:space="preserve">. </w:t>
      </w:r>
      <w:r w:rsidR="00180E56">
        <w:rPr>
          <w:rFonts w:asciiTheme="majorHAnsi" w:hAnsiTheme="majorHAnsi"/>
        </w:rPr>
        <w:t xml:space="preserve">EPA </w:t>
      </w:r>
      <w:r w:rsidR="001532D3">
        <w:rPr>
          <w:rFonts w:asciiTheme="majorHAnsi" w:hAnsiTheme="majorHAnsi"/>
        </w:rPr>
        <w:t>reiterated</w:t>
      </w:r>
      <w:r w:rsidR="001532D3" w:rsidRPr="00D71C49">
        <w:rPr>
          <w:rFonts w:asciiTheme="majorHAnsi" w:hAnsiTheme="majorHAnsi"/>
        </w:rPr>
        <w:t xml:space="preserve"> </w:t>
      </w:r>
      <w:r w:rsidR="0018477D" w:rsidRPr="00D71C49">
        <w:rPr>
          <w:rFonts w:asciiTheme="majorHAnsi" w:hAnsiTheme="majorHAnsi"/>
        </w:rPr>
        <w:t xml:space="preserve">that glyphosate </w:t>
      </w:r>
      <w:proofErr w:type="gramStart"/>
      <w:r w:rsidR="0018477D" w:rsidRPr="00D71C49">
        <w:rPr>
          <w:rFonts w:asciiTheme="majorHAnsi" w:hAnsiTheme="majorHAnsi"/>
        </w:rPr>
        <w:t>is</w:t>
      </w:r>
      <w:r w:rsidR="00F37E43">
        <w:rPr>
          <w:rFonts w:asciiTheme="majorHAnsi" w:hAnsiTheme="majorHAnsi"/>
        </w:rPr>
        <w:t xml:space="preserve"> </w:t>
      </w:r>
      <w:r w:rsidR="00180E56" w:rsidRPr="004379A2">
        <w:rPr>
          <w:rFonts w:asciiTheme="majorHAnsi" w:hAnsiTheme="majorHAnsi"/>
        </w:rPr>
        <w:t>”</w:t>
      </w:r>
      <w:proofErr w:type="gramEnd"/>
      <w:r w:rsidR="00180E56">
        <w:rPr>
          <w:rFonts w:asciiTheme="majorHAnsi" w:hAnsiTheme="majorHAnsi"/>
          <w:i/>
        </w:rPr>
        <w:t>not likely to be carcinogenic to humans</w:t>
      </w:r>
      <w:r w:rsidR="00180E56" w:rsidRPr="004379A2">
        <w:rPr>
          <w:rFonts w:asciiTheme="majorHAnsi" w:hAnsiTheme="majorHAnsi"/>
        </w:rPr>
        <w:t>”</w:t>
      </w:r>
      <w:r w:rsidR="0018477D" w:rsidRPr="00D71C49">
        <w:rPr>
          <w:rFonts w:asciiTheme="majorHAnsi" w:hAnsiTheme="majorHAnsi"/>
        </w:rPr>
        <w:t xml:space="preserve"> and that</w:t>
      </w:r>
      <w:r w:rsidR="00A73CF4">
        <w:rPr>
          <w:rFonts w:asciiTheme="majorHAnsi" w:hAnsiTheme="majorHAnsi"/>
        </w:rPr>
        <w:t xml:space="preserve"> “</w:t>
      </w:r>
      <w:r w:rsidR="00A73CF4" w:rsidRPr="004379A2">
        <w:rPr>
          <w:rFonts w:asciiTheme="majorHAnsi" w:hAnsiTheme="majorHAnsi"/>
          <w:i/>
        </w:rPr>
        <w:t xml:space="preserve">[t]he EPA thoroughly </w:t>
      </w:r>
      <w:r w:rsidR="00A73CF4" w:rsidRPr="004379A2">
        <w:rPr>
          <w:rFonts w:asciiTheme="majorHAnsi" w:hAnsiTheme="majorHAnsi"/>
          <w:i/>
        </w:rPr>
        <w:lastRenderedPageBreak/>
        <w:t>assessed risks to humans from exposure to glyphosate from all uses and all routes of exposure and did not identify any risks of concern</w:t>
      </w:r>
      <w:r w:rsidR="0018477D" w:rsidRPr="00D71C49">
        <w:rPr>
          <w:rFonts w:asciiTheme="majorHAnsi" w:hAnsiTheme="majorHAnsi"/>
        </w:rPr>
        <w:t>.</w:t>
      </w:r>
      <w:r w:rsidR="00A73CF4">
        <w:rPr>
          <w:rFonts w:asciiTheme="majorHAnsi" w:hAnsiTheme="majorHAnsi"/>
        </w:rPr>
        <w:t>”</w:t>
      </w:r>
      <w:r w:rsidR="00D57BEB">
        <w:rPr>
          <w:rFonts w:asciiTheme="majorHAnsi" w:hAnsiTheme="majorHAnsi"/>
        </w:rPr>
        <w:t xml:space="preserve"> </w:t>
      </w:r>
    </w:p>
    <w:p w14:paraId="0FC003A9" w14:textId="77777777" w:rsidR="009E288A" w:rsidRDefault="009E288A">
      <w:pPr>
        <w:rPr>
          <w:rFonts w:asciiTheme="majorHAnsi" w:hAnsiTheme="majorHAnsi"/>
        </w:rPr>
      </w:pPr>
    </w:p>
    <w:p w14:paraId="545919AC" w14:textId="1D9857E7" w:rsidR="00AD45D5" w:rsidRDefault="007502B0">
      <w:pPr>
        <w:rPr>
          <w:rFonts w:asciiTheme="majorHAnsi" w:hAnsiTheme="majorHAnsi"/>
        </w:rPr>
      </w:pPr>
      <w:r>
        <w:rPr>
          <w:rFonts w:asciiTheme="majorHAnsi" w:hAnsiTheme="majorHAnsi"/>
        </w:rPr>
        <w:t xml:space="preserve">Extensive </w:t>
      </w:r>
      <w:r w:rsidR="00DB0FC7" w:rsidRPr="00BE6D54">
        <w:rPr>
          <w:rFonts w:asciiTheme="majorHAnsi" w:hAnsiTheme="majorHAnsi"/>
        </w:rPr>
        <w:t>reliance on any single tool or technology can be cause for concern</w:t>
      </w:r>
      <w:r w:rsidR="00EF0DA4">
        <w:rPr>
          <w:rFonts w:asciiTheme="majorHAnsi" w:hAnsiTheme="majorHAnsi"/>
        </w:rPr>
        <w:t>. As</w:t>
      </w:r>
      <w:r w:rsidR="00DB0FC7" w:rsidRPr="00BE6D54">
        <w:rPr>
          <w:rFonts w:asciiTheme="majorHAnsi" w:hAnsiTheme="majorHAnsi"/>
        </w:rPr>
        <w:t xml:space="preserve"> scientists and weed managers, our membership encourages diversification of weed management practices</w:t>
      </w:r>
      <w:r w:rsidR="003C1571" w:rsidRPr="00D71C49">
        <w:rPr>
          <w:rFonts w:asciiTheme="majorHAnsi" w:hAnsiTheme="majorHAnsi"/>
        </w:rPr>
        <w:t xml:space="preserve">, including </w:t>
      </w:r>
      <w:r w:rsidR="00AD45D5">
        <w:rPr>
          <w:rFonts w:asciiTheme="majorHAnsi" w:hAnsiTheme="majorHAnsi"/>
        </w:rPr>
        <w:t xml:space="preserve">both chemical and </w:t>
      </w:r>
      <w:r w:rsidR="003C1571" w:rsidRPr="00D71C49">
        <w:rPr>
          <w:rFonts w:asciiTheme="majorHAnsi" w:hAnsiTheme="majorHAnsi"/>
        </w:rPr>
        <w:t>nonchemical control</w:t>
      </w:r>
      <w:r w:rsidR="00D71C49" w:rsidRPr="00D71C49">
        <w:rPr>
          <w:rFonts w:asciiTheme="majorHAnsi" w:hAnsiTheme="majorHAnsi"/>
        </w:rPr>
        <w:t>s</w:t>
      </w:r>
      <w:r w:rsidR="003C1571" w:rsidRPr="00D71C49">
        <w:rPr>
          <w:rFonts w:asciiTheme="majorHAnsi" w:hAnsiTheme="majorHAnsi"/>
        </w:rPr>
        <w:t xml:space="preserve">. </w:t>
      </w:r>
      <w:r w:rsidR="00AD45D5">
        <w:rPr>
          <w:rFonts w:asciiTheme="majorHAnsi" w:hAnsiTheme="majorHAnsi"/>
        </w:rPr>
        <w:t>For that reason, r</w:t>
      </w:r>
      <w:r w:rsidR="003C1571" w:rsidRPr="00D71C49">
        <w:rPr>
          <w:rFonts w:asciiTheme="majorHAnsi" w:hAnsiTheme="majorHAnsi"/>
        </w:rPr>
        <w:t>educing the heavy reliance on glyphosate for weed control is</w:t>
      </w:r>
      <w:r w:rsidR="00D71C49" w:rsidRPr="00D71C49">
        <w:rPr>
          <w:rFonts w:asciiTheme="majorHAnsi" w:hAnsiTheme="majorHAnsi"/>
        </w:rPr>
        <w:t xml:space="preserve"> certainly </w:t>
      </w:r>
      <w:r w:rsidR="003C1571" w:rsidRPr="00D71C49">
        <w:rPr>
          <w:rFonts w:asciiTheme="majorHAnsi" w:hAnsiTheme="majorHAnsi"/>
        </w:rPr>
        <w:t xml:space="preserve">a desirable long-term outcome. </w:t>
      </w:r>
    </w:p>
    <w:p w14:paraId="793ACCEC" w14:textId="77777777" w:rsidR="00AD45D5" w:rsidRDefault="00AD45D5">
      <w:pPr>
        <w:rPr>
          <w:rFonts w:asciiTheme="majorHAnsi" w:hAnsiTheme="majorHAnsi"/>
        </w:rPr>
      </w:pPr>
    </w:p>
    <w:p w14:paraId="5FD47A16" w14:textId="77777777" w:rsidR="006C260D" w:rsidRDefault="00AD45D5" w:rsidP="004379A2">
      <w:pPr>
        <w:rPr>
          <w:rFonts w:asciiTheme="majorHAnsi" w:hAnsiTheme="majorHAnsi"/>
        </w:rPr>
      </w:pPr>
      <w:r>
        <w:rPr>
          <w:rFonts w:asciiTheme="majorHAnsi" w:hAnsiTheme="majorHAnsi"/>
        </w:rPr>
        <w:t>I</w:t>
      </w:r>
      <w:r w:rsidR="003C1571" w:rsidRPr="00D71C49">
        <w:rPr>
          <w:rFonts w:asciiTheme="majorHAnsi" w:hAnsiTheme="majorHAnsi"/>
        </w:rPr>
        <w:t>f</w:t>
      </w:r>
      <w:r>
        <w:rPr>
          <w:rFonts w:asciiTheme="majorHAnsi" w:hAnsiTheme="majorHAnsi"/>
        </w:rPr>
        <w:t>, though,</w:t>
      </w:r>
      <w:r w:rsidR="003C1571" w:rsidRPr="00D71C49">
        <w:rPr>
          <w:rFonts w:asciiTheme="majorHAnsi" w:hAnsiTheme="majorHAnsi"/>
        </w:rPr>
        <w:t xml:space="preserve"> glyphosate is </w:t>
      </w:r>
      <w:r w:rsidR="00B41CB6">
        <w:rPr>
          <w:rFonts w:asciiTheme="majorHAnsi" w:hAnsiTheme="majorHAnsi"/>
        </w:rPr>
        <w:t>banned</w:t>
      </w:r>
      <w:r w:rsidR="00D71C49" w:rsidRPr="00D71C49">
        <w:rPr>
          <w:rFonts w:asciiTheme="majorHAnsi" w:hAnsiTheme="majorHAnsi"/>
        </w:rPr>
        <w:t xml:space="preserve"> </w:t>
      </w:r>
      <w:r w:rsidR="003C1571" w:rsidRPr="00D71C49">
        <w:rPr>
          <w:rFonts w:asciiTheme="majorHAnsi" w:hAnsiTheme="majorHAnsi"/>
        </w:rPr>
        <w:t>by policy or public outcry</w:t>
      </w:r>
      <w:r w:rsidR="00B41CB6">
        <w:rPr>
          <w:rFonts w:asciiTheme="majorHAnsi" w:hAnsiTheme="majorHAnsi"/>
        </w:rPr>
        <w:t>,</w:t>
      </w:r>
      <w:r w:rsidR="003C1571" w:rsidRPr="00D71C49">
        <w:rPr>
          <w:rFonts w:asciiTheme="majorHAnsi" w:hAnsiTheme="majorHAnsi"/>
        </w:rPr>
        <w:t xml:space="preserve"> other tools will be used to manage weeds, and </w:t>
      </w:r>
      <w:r w:rsidR="00D71C49" w:rsidRPr="00D71C49">
        <w:rPr>
          <w:rFonts w:asciiTheme="majorHAnsi" w:hAnsiTheme="majorHAnsi"/>
        </w:rPr>
        <w:t xml:space="preserve">many </w:t>
      </w:r>
      <w:r w:rsidR="003C1571" w:rsidRPr="00D71C49">
        <w:rPr>
          <w:rFonts w:asciiTheme="majorHAnsi" w:hAnsiTheme="majorHAnsi"/>
        </w:rPr>
        <w:t>come with their own potential for negative impacts</w:t>
      </w:r>
      <w:r w:rsidR="00D71C49" w:rsidRPr="00D71C49">
        <w:rPr>
          <w:rFonts w:asciiTheme="majorHAnsi" w:hAnsiTheme="majorHAnsi"/>
        </w:rPr>
        <w:t xml:space="preserve"> </w:t>
      </w:r>
      <w:r w:rsidR="003C1571" w:rsidRPr="00D71C49">
        <w:rPr>
          <w:rFonts w:asciiTheme="majorHAnsi" w:hAnsiTheme="majorHAnsi"/>
        </w:rPr>
        <w:t>on health and the environment.</w:t>
      </w:r>
      <w:r w:rsidR="00B20582">
        <w:rPr>
          <w:rFonts w:asciiTheme="majorHAnsi" w:hAnsiTheme="majorHAnsi"/>
        </w:rPr>
        <w:t xml:space="preserve">  </w:t>
      </w:r>
    </w:p>
    <w:p w14:paraId="755C7DAC" w14:textId="77777777" w:rsidR="00775B63" w:rsidRDefault="00775B63">
      <w:pPr>
        <w:rPr>
          <w:rFonts w:asciiTheme="majorHAnsi" w:hAnsiTheme="majorHAnsi"/>
        </w:rPr>
      </w:pPr>
    </w:p>
    <w:p w14:paraId="784E2DF6" w14:textId="77777777" w:rsidR="00EF0DA4" w:rsidRDefault="00B41CB6" w:rsidP="00EF0DA4">
      <w:pPr>
        <w:rPr>
          <w:rFonts w:asciiTheme="majorHAnsi" w:hAnsiTheme="majorHAnsi"/>
        </w:rPr>
      </w:pPr>
      <w:r>
        <w:rPr>
          <w:rFonts w:asciiTheme="majorHAnsi" w:hAnsiTheme="majorHAnsi"/>
        </w:rPr>
        <w:t>Prohibiting</w:t>
      </w:r>
      <w:r w:rsidR="003C1571" w:rsidRPr="00D71C49">
        <w:rPr>
          <w:rFonts w:asciiTheme="majorHAnsi" w:hAnsiTheme="majorHAnsi"/>
        </w:rPr>
        <w:t xml:space="preserve"> glyphosate </w:t>
      </w:r>
      <w:r>
        <w:rPr>
          <w:rFonts w:asciiTheme="majorHAnsi" w:hAnsiTheme="majorHAnsi"/>
        </w:rPr>
        <w:t xml:space="preserve">use </w:t>
      </w:r>
      <w:r w:rsidR="003C1571" w:rsidRPr="00D71C49">
        <w:rPr>
          <w:rFonts w:asciiTheme="majorHAnsi" w:hAnsiTheme="majorHAnsi"/>
        </w:rPr>
        <w:t xml:space="preserve">may also </w:t>
      </w:r>
      <w:r w:rsidR="006D1708">
        <w:rPr>
          <w:rFonts w:asciiTheme="majorHAnsi" w:hAnsiTheme="majorHAnsi"/>
        </w:rPr>
        <w:t>result in</w:t>
      </w:r>
      <w:r w:rsidR="006D1708" w:rsidRPr="00D71C49">
        <w:rPr>
          <w:rFonts w:asciiTheme="majorHAnsi" w:hAnsiTheme="majorHAnsi"/>
        </w:rPr>
        <w:t xml:space="preserve"> </w:t>
      </w:r>
      <w:r w:rsidR="003C1571" w:rsidRPr="00D71C49">
        <w:rPr>
          <w:rFonts w:asciiTheme="majorHAnsi" w:hAnsiTheme="majorHAnsi"/>
        </w:rPr>
        <w:t>less effective weed control</w:t>
      </w:r>
      <w:r w:rsidR="00C23D13">
        <w:rPr>
          <w:rFonts w:asciiTheme="majorHAnsi" w:hAnsiTheme="majorHAnsi"/>
        </w:rPr>
        <w:t xml:space="preserve"> that</w:t>
      </w:r>
      <w:r w:rsidR="003C1571" w:rsidRPr="00D71C49">
        <w:rPr>
          <w:rFonts w:asciiTheme="majorHAnsi" w:hAnsiTheme="majorHAnsi"/>
        </w:rPr>
        <w:t xml:space="preserve"> could lead </w:t>
      </w:r>
      <w:r w:rsidR="00FD36AE" w:rsidRPr="00D71C49">
        <w:rPr>
          <w:rFonts w:asciiTheme="majorHAnsi" w:hAnsiTheme="majorHAnsi"/>
        </w:rPr>
        <w:t xml:space="preserve">to </w:t>
      </w:r>
      <w:r w:rsidR="00D71C49" w:rsidRPr="00D71C49">
        <w:rPr>
          <w:rFonts w:asciiTheme="majorHAnsi" w:hAnsiTheme="majorHAnsi"/>
        </w:rPr>
        <w:t>reduced crop yields</w:t>
      </w:r>
      <w:r w:rsidR="00F214E1">
        <w:rPr>
          <w:rFonts w:asciiTheme="majorHAnsi" w:hAnsiTheme="majorHAnsi"/>
        </w:rPr>
        <w:t xml:space="preserve"> and quality</w:t>
      </w:r>
      <w:r w:rsidR="00D71C49" w:rsidRPr="00D71C49">
        <w:rPr>
          <w:rFonts w:asciiTheme="majorHAnsi" w:hAnsiTheme="majorHAnsi"/>
        </w:rPr>
        <w:t xml:space="preserve">, </w:t>
      </w:r>
      <w:r w:rsidR="000D43FF">
        <w:rPr>
          <w:rFonts w:asciiTheme="majorHAnsi" w:hAnsiTheme="majorHAnsi"/>
        </w:rPr>
        <w:t xml:space="preserve">buildup of weed seed banks, </w:t>
      </w:r>
      <w:r w:rsidR="00D71C49" w:rsidRPr="00D71C49">
        <w:rPr>
          <w:rFonts w:asciiTheme="majorHAnsi" w:hAnsiTheme="majorHAnsi"/>
        </w:rPr>
        <w:t xml:space="preserve">weed-clogged </w:t>
      </w:r>
      <w:r w:rsidR="003C1571" w:rsidRPr="00D71C49">
        <w:rPr>
          <w:rFonts w:asciiTheme="majorHAnsi" w:hAnsiTheme="majorHAnsi"/>
        </w:rPr>
        <w:t>waterways, degraded wildlife habitat</w:t>
      </w:r>
      <w:r w:rsidR="00D71C49" w:rsidRPr="00D71C49">
        <w:rPr>
          <w:rFonts w:asciiTheme="majorHAnsi" w:hAnsiTheme="majorHAnsi"/>
        </w:rPr>
        <w:t>s</w:t>
      </w:r>
      <w:r w:rsidR="003C1571" w:rsidRPr="00D71C49">
        <w:rPr>
          <w:rFonts w:asciiTheme="majorHAnsi" w:hAnsiTheme="majorHAnsi"/>
        </w:rPr>
        <w:t xml:space="preserve">, risks to </w:t>
      </w:r>
      <w:r w:rsidR="00C23D13">
        <w:rPr>
          <w:rFonts w:asciiTheme="majorHAnsi" w:hAnsiTheme="majorHAnsi"/>
        </w:rPr>
        <w:t>human and animal</w:t>
      </w:r>
      <w:r w:rsidR="003C1571" w:rsidRPr="00D71C49">
        <w:rPr>
          <w:rFonts w:asciiTheme="majorHAnsi" w:hAnsiTheme="majorHAnsi"/>
        </w:rPr>
        <w:t xml:space="preserve"> health from toxic weed species.</w:t>
      </w:r>
      <w:r w:rsidR="0085235C" w:rsidRPr="00D71C49">
        <w:rPr>
          <w:rFonts w:asciiTheme="majorHAnsi" w:hAnsiTheme="majorHAnsi"/>
        </w:rPr>
        <w:t xml:space="preserve"> </w:t>
      </w:r>
      <w:r w:rsidR="00D4384A">
        <w:rPr>
          <w:rFonts w:asciiTheme="majorHAnsi" w:hAnsiTheme="majorHAnsi"/>
        </w:rPr>
        <w:t>I</w:t>
      </w:r>
      <w:r w:rsidR="00EF0DA4">
        <w:rPr>
          <w:rFonts w:asciiTheme="majorHAnsi" w:hAnsiTheme="majorHAnsi"/>
        </w:rPr>
        <w:t>t is possible that labor costs may go up and that t</w:t>
      </w:r>
      <w:r w:rsidR="00EF0DA4" w:rsidRPr="00D71C49">
        <w:rPr>
          <w:rFonts w:asciiTheme="majorHAnsi" w:hAnsiTheme="majorHAnsi"/>
        </w:rPr>
        <w:t xml:space="preserve">illage </w:t>
      </w:r>
      <w:r w:rsidR="00EF0DA4">
        <w:rPr>
          <w:rFonts w:asciiTheme="majorHAnsi" w:hAnsiTheme="majorHAnsi"/>
        </w:rPr>
        <w:t>may</w:t>
      </w:r>
      <w:r w:rsidR="00EF0DA4" w:rsidRPr="00D71C49">
        <w:rPr>
          <w:rFonts w:asciiTheme="majorHAnsi" w:hAnsiTheme="majorHAnsi"/>
        </w:rPr>
        <w:t xml:space="preserve"> increase </w:t>
      </w:r>
      <w:r w:rsidR="00EF0DA4">
        <w:rPr>
          <w:rFonts w:asciiTheme="majorHAnsi" w:hAnsiTheme="majorHAnsi"/>
        </w:rPr>
        <w:t xml:space="preserve">along with </w:t>
      </w:r>
      <w:r w:rsidR="00EF0DA4" w:rsidRPr="00D71C49">
        <w:rPr>
          <w:rFonts w:asciiTheme="majorHAnsi" w:hAnsiTheme="majorHAnsi"/>
        </w:rPr>
        <w:t xml:space="preserve">fossil fuel use and soil erosion. </w:t>
      </w:r>
      <w:r w:rsidR="00EF0DA4">
        <w:rPr>
          <w:rFonts w:asciiTheme="majorHAnsi" w:hAnsiTheme="majorHAnsi"/>
        </w:rPr>
        <w:t>In addition, h</w:t>
      </w:r>
      <w:r w:rsidR="00EF0DA4" w:rsidRPr="00D71C49">
        <w:rPr>
          <w:rFonts w:asciiTheme="majorHAnsi" w:hAnsiTheme="majorHAnsi"/>
        </w:rPr>
        <w:t xml:space="preserve">and-labor </w:t>
      </w:r>
      <w:r w:rsidR="00EF0DA4">
        <w:rPr>
          <w:rFonts w:asciiTheme="majorHAnsi" w:hAnsiTheme="majorHAnsi"/>
        </w:rPr>
        <w:t>can carry the very real risk of</w:t>
      </w:r>
      <w:r w:rsidR="00EF0DA4" w:rsidRPr="00D71C49">
        <w:rPr>
          <w:rFonts w:asciiTheme="majorHAnsi" w:hAnsiTheme="majorHAnsi"/>
        </w:rPr>
        <w:t xml:space="preserve"> musculoskeletal injuries and </w:t>
      </w:r>
      <w:r w:rsidR="00EF0DA4">
        <w:rPr>
          <w:rFonts w:asciiTheme="majorHAnsi" w:hAnsiTheme="majorHAnsi"/>
        </w:rPr>
        <w:t xml:space="preserve">of skin cancer from </w:t>
      </w:r>
      <w:r w:rsidR="00EF0DA4" w:rsidRPr="00D71C49">
        <w:rPr>
          <w:rFonts w:asciiTheme="majorHAnsi" w:hAnsiTheme="majorHAnsi"/>
        </w:rPr>
        <w:t xml:space="preserve">overexposure to </w:t>
      </w:r>
      <w:r w:rsidR="00EF0DA4">
        <w:rPr>
          <w:rFonts w:asciiTheme="majorHAnsi" w:hAnsiTheme="majorHAnsi"/>
        </w:rPr>
        <w:t xml:space="preserve">the </w:t>
      </w:r>
      <w:r w:rsidR="00EF0DA4" w:rsidRPr="00D71C49">
        <w:rPr>
          <w:rFonts w:asciiTheme="majorHAnsi" w:hAnsiTheme="majorHAnsi"/>
        </w:rPr>
        <w:t xml:space="preserve">sun. </w:t>
      </w:r>
    </w:p>
    <w:p w14:paraId="6A462795" w14:textId="77777777" w:rsidR="00EF0DA4" w:rsidRDefault="00EF0DA4" w:rsidP="00EF0DA4">
      <w:pPr>
        <w:rPr>
          <w:rFonts w:asciiTheme="majorHAnsi" w:hAnsiTheme="majorHAnsi"/>
        </w:rPr>
      </w:pPr>
    </w:p>
    <w:p w14:paraId="20696AA7" w14:textId="78FB33BE" w:rsidR="008D1040" w:rsidRPr="00D71C49" w:rsidRDefault="0018410E">
      <w:pPr>
        <w:rPr>
          <w:rFonts w:asciiTheme="majorHAnsi" w:hAnsiTheme="majorHAnsi"/>
        </w:rPr>
      </w:pPr>
      <w:r>
        <w:rPr>
          <w:rFonts w:asciiTheme="majorHAnsi" w:hAnsiTheme="majorHAnsi"/>
        </w:rPr>
        <w:t xml:space="preserve">The WSSA supports the scientific evaluation conducted by EPA to determine the safety of properly applied pesticides. </w:t>
      </w:r>
      <w:r w:rsidR="003C1571" w:rsidRPr="00D71C49">
        <w:rPr>
          <w:rFonts w:asciiTheme="majorHAnsi" w:hAnsiTheme="majorHAnsi"/>
        </w:rPr>
        <w:t xml:space="preserve">When determining whether to allow or discontinue use of </w:t>
      </w:r>
      <w:r w:rsidR="003C1571" w:rsidRPr="00B81682">
        <w:rPr>
          <w:rFonts w:asciiTheme="majorHAnsi" w:hAnsiTheme="majorHAnsi"/>
          <w:i/>
        </w:rPr>
        <w:t>any</w:t>
      </w:r>
      <w:r w:rsidR="003C1571" w:rsidRPr="00D71C49">
        <w:rPr>
          <w:rFonts w:asciiTheme="majorHAnsi" w:hAnsiTheme="majorHAnsi"/>
        </w:rPr>
        <w:t xml:space="preserve"> pesticide, it is important to not only weigh the costs and benefits of that pesticide, but also to understand the risks and benefits of the most likely alternatives.</w:t>
      </w:r>
      <w:r w:rsidR="006C260D">
        <w:rPr>
          <w:rFonts w:asciiTheme="majorHAnsi" w:hAnsiTheme="majorHAnsi"/>
        </w:rPr>
        <w:t xml:space="preserve"> </w:t>
      </w:r>
      <w:r>
        <w:rPr>
          <w:rFonts w:asciiTheme="majorHAnsi" w:hAnsiTheme="majorHAnsi"/>
        </w:rPr>
        <w:t>Decisions related to glyphosate use are no different.</w:t>
      </w:r>
      <w:r w:rsidR="006C260D">
        <w:rPr>
          <w:rFonts w:asciiTheme="majorHAnsi" w:hAnsiTheme="majorHAnsi"/>
        </w:rPr>
        <w:t xml:space="preserve"> </w:t>
      </w:r>
      <w:r w:rsidR="00DA5AED">
        <w:rPr>
          <w:rFonts w:asciiTheme="majorHAnsi" w:hAnsiTheme="majorHAnsi"/>
        </w:rPr>
        <w:t>Ongoing</w:t>
      </w:r>
      <w:r w:rsidR="004B3B2B">
        <w:rPr>
          <w:rFonts w:asciiTheme="majorHAnsi" w:hAnsiTheme="majorHAnsi"/>
        </w:rPr>
        <w:t xml:space="preserve"> research and evaluation </w:t>
      </w:r>
      <w:r w:rsidR="004B5611">
        <w:rPr>
          <w:rFonts w:asciiTheme="majorHAnsi" w:hAnsiTheme="majorHAnsi"/>
        </w:rPr>
        <w:t>are justified,</w:t>
      </w:r>
      <w:r w:rsidR="004B3B2B">
        <w:rPr>
          <w:rFonts w:asciiTheme="majorHAnsi" w:hAnsiTheme="majorHAnsi"/>
        </w:rPr>
        <w:t xml:space="preserve"> and our society will remain current on further developments related to carcinogenic risk and glyphosate as new information becomes available.</w:t>
      </w:r>
    </w:p>
    <w:p w14:paraId="072D5540" w14:textId="77777777" w:rsidR="00FD36AE" w:rsidRDefault="00FD36AE" w:rsidP="00FD36AE">
      <w:pPr>
        <w:pStyle w:val="NormalWeb"/>
        <w:spacing w:after="120" w:afterAutospacing="0"/>
      </w:pPr>
      <w:r>
        <w:rPr>
          <w:rStyle w:val="Strong"/>
          <w:rFonts w:ascii="Calibri" w:hAnsi="Calibri" w:cs="Calibri"/>
        </w:rPr>
        <w:t xml:space="preserve">About the Weed Science Society of America </w:t>
      </w:r>
    </w:p>
    <w:p w14:paraId="712C1DC9" w14:textId="77777777" w:rsidR="00FD36AE" w:rsidRDefault="00FD36AE" w:rsidP="00FD36AE">
      <w:pPr>
        <w:pStyle w:val="NormalWeb"/>
        <w:spacing w:before="0" w:beforeAutospacing="0" w:after="160" w:afterAutospacing="0"/>
      </w:pPr>
      <w:r>
        <w:rPr>
          <w:rFonts w:ascii="Calibri" w:hAnsi="Calibri" w:cs="Calibri"/>
          <w:color w:val="000000"/>
          <w:shd w:val="clear" w:color="auto" w:fill="FFFFFF"/>
        </w:rPr>
        <w:t xml:space="preserve">The Weed Science Society of America, a nonprofit scientific society, was founded in </w:t>
      </w:r>
      <w:r>
        <w:rPr>
          <w:rFonts w:ascii="Calibri" w:hAnsi="Calibri" w:cs="Calibri"/>
          <w:shd w:val="clear" w:color="auto" w:fill="FFFFFF"/>
        </w:rPr>
        <w:t>1956 to encourage and promote the development of knowledge concerning weeds and</w:t>
      </w:r>
      <w:r>
        <w:rPr>
          <w:rFonts w:ascii="Calibri" w:hAnsi="Calibri" w:cs="Calibri"/>
          <w:color w:val="000000"/>
          <w:shd w:val="clear" w:color="auto" w:fill="FFFFFF"/>
        </w:rPr>
        <w:t xml:space="preserve"> their impact on the environment. The Society promotes research, education and extension outreach activities related to weeds, provides science-based information to the public and policy makers, fosters awareness of weeds and their impact on managed and natural ecosystems, and promotes cooperation among weed science organizations across the nation and around the world.  For more information, visit </w:t>
      </w:r>
      <w:hyperlink r:id="rId10" w:history="1">
        <w:r>
          <w:rPr>
            <w:rStyle w:val="Hyperlink"/>
            <w:rFonts w:ascii="Calibri" w:hAnsi="Calibri" w:cs="Calibri"/>
            <w:shd w:val="clear" w:color="auto" w:fill="FFFFFF"/>
          </w:rPr>
          <w:t>www.wssa.net</w:t>
        </w:r>
      </w:hyperlink>
      <w:r>
        <w:rPr>
          <w:rFonts w:ascii="Calibri" w:hAnsi="Calibri" w:cs="Calibri"/>
          <w:color w:val="000000"/>
          <w:shd w:val="clear" w:color="auto" w:fill="FFFFFF"/>
        </w:rPr>
        <w:t>.</w:t>
      </w:r>
    </w:p>
    <w:p w14:paraId="447FA84C" w14:textId="77777777" w:rsidR="00C4108F" w:rsidRDefault="00C4108F">
      <w:pPr>
        <w:spacing w:after="160"/>
        <w:rPr>
          <w:rFonts w:ascii="Arial" w:eastAsia="Arial" w:hAnsi="Arial" w:cs="Arial"/>
          <w:shd w:val="clear" w:color="auto" w:fill="E6B8AF"/>
        </w:rPr>
      </w:pPr>
    </w:p>
    <w:p w14:paraId="7068443F" w14:textId="77777777" w:rsidR="008D1040" w:rsidRDefault="008D1040"/>
    <w:p w14:paraId="6B0F2084" w14:textId="77777777" w:rsidR="008D1040" w:rsidRDefault="008D1040"/>
    <w:sectPr w:rsidR="008D1040">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DBB04" w14:textId="77777777" w:rsidR="00FC7271" w:rsidRDefault="00FC7271">
      <w:r>
        <w:separator/>
      </w:r>
    </w:p>
  </w:endnote>
  <w:endnote w:type="continuationSeparator" w:id="0">
    <w:p w14:paraId="7DF70FA4" w14:textId="77777777" w:rsidR="00FC7271" w:rsidRDefault="00FC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7BBB" w14:textId="77777777" w:rsidR="008D1040" w:rsidRDefault="008D104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0C8C" w14:textId="77777777" w:rsidR="008D1040" w:rsidRDefault="008D104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2038" w14:textId="77777777" w:rsidR="008D1040" w:rsidRDefault="008D104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7546C" w14:textId="77777777" w:rsidR="00FC7271" w:rsidRDefault="00FC7271">
      <w:r>
        <w:separator/>
      </w:r>
    </w:p>
  </w:footnote>
  <w:footnote w:type="continuationSeparator" w:id="0">
    <w:p w14:paraId="0C96F422" w14:textId="77777777" w:rsidR="00FC7271" w:rsidRDefault="00FC7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AD85" w14:textId="77777777" w:rsidR="008D1040" w:rsidRDefault="008D104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05C1F" w14:textId="6A9E8D67" w:rsidR="008D1040" w:rsidRPr="002C68AC" w:rsidRDefault="008D1040" w:rsidP="002C68AC">
    <w:pPr>
      <w:pBdr>
        <w:top w:val="nil"/>
        <w:left w:val="nil"/>
        <w:bottom w:val="nil"/>
        <w:right w:val="nil"/>
        <w:between w:val="nil"/>
      </w:pBdr>
      <w:tabs>
        <w:tab w:val="center" w:pos="4680"/>
        <w:tab w:val="right" w:pos="9360"/>
      </w:tabs>
      <w:jc w:val="center"/>
      <w:rPr>
        <w:b/>
        <w:color w:val="C00000"/>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E6EE1" w14:textId="77777777" w:rsidR="008D1040" w:rsidRDefault="008D104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F780D"/>
    <w:multiLevelType w:val="hybridMultilevel"/>
    <w:tmpl w:val="976A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40"/>
    <w:rsid w:val="00003C8A"/>
    <w:rsid w:val="00076889"/>
    <w:rsid w:val="000C24AE"/>
    <w:rsid w:val="000D43FF"/>
    <w:rsid w:val="001117CC"/>
    <w:rsid w:val="00123EA9"/>
    <w:rsid w:val="00147EB9"/>
    <w:rsid w:val="001532D3"/>
    <w:rsid w:val="00160908"/>
    <w:rsid w:val="00180E56"/>
    <w:rsid w:val="0018410E"/>
    <w:rsid w:val="0018477D"/>
    <w:rsid w:val="00185118"/>
    <w:rsid w:val="001E2448"/>
    <w:rsid w:val="001F1F8C"/>
    <w:rsid w:val="002047A9"/>
    <w:rsid w:val="002217DD"/>
    <w:rsid w:val="00231EA9"/>
    <w:rsid w:val="00237BA0"/>
    <w:rsid w:val="002C68AC"/>
    <w:rsid w:val="003151A6"/>
    <w:rsid w:val="00352C7E"/>
    <w:rsid w:val="003C1571"/>
    <w:rsid w:val="0040339D"/>
    <w:rsid w:val="004201CD"/>
    <w:rsid w:val="004379A2"/>
    <w:rsid w:val="00446758"/>
    <w:rsid w:val="004828D5"/>
    <w:rsid w:val="0049205A"/>
    <w:rsid w:val="004B3B2B"/>
    <w:rsid w:val="004B5611"/>
    <w:rsid w:val="004C0FC0"/>
    <w:rsid w:val="004C397C"/>
    <w:rsid w:val="004C4412"/>
    <w:rsid w:val="004D1DC3"/>
    <w:rsid w:val="00525A1D"/>
    <w:rsid w:val="0054588C"/>
    <w:rsid w:val="005B065F"/>
    <w:rsid w:val="005D3F97"/>
    <w:rsid w:val="006206EB"/>
    <w:rsid w:val="00627162"/>
    <w:rsid w:val="00635B95"/>
    <w:rsid w:val="0065544E"/>
    <w:rsid w:val="006C260D"/>
    <w:rsid w:val="006C7352"/>
    <w:rsid w:val="006D1708"/>
    <w:rsid w:val="007502B0"/>
    <w:rsid w:val="00775B63"/>
    <w:rsid w:val="0078262F"/>
    <w:rsid w:val="0079045F"/>
    <w:rsid w:val="00794FF0"/>
    <w:rsid w:val="007C11B7"/>
    <w:rsid w:val="008304D3"/>
    <w:rsid w:val="00835A1A"/>
    <w:rsid w:val="008436A1"/>
    <w:rsid w:val="0085235C"/>
    <w:rsid w:val="008B11BF"/>
    <w:rsid w:val="008D1040"/>
    <w:rsid w:val="008F42A8"/>
    <w:rsid w:val="0091492D"/>
    <w:rsid w:val="0097225A"/>
    <w:rsid w:val="00985CFB"/>
    <w:rsid w:val="00992EDA"/>
    <w:rsid w:val="009E288A"/>
    <w:rsid w:val="00A12EFB"/>
    <w:rsid w:val="00A177FA"/>
    <w:rsid w:val="00A25DBB"/>
    <w:rsid w:val="00A67259"/>
    <w:rsid w:val="00A73CF4"/>
    <w:rsid w:val="00AB5DAE"/>
    <w:rsid w:val="00AD45D5"/>
    <w:rsid w:val="00AF2D75"/>
    <w:rsid w:val="00B20582"/>
    <w:rsid w:val="00B41CB6"/>
    <w:rsid w:val="00B81682"/>
    <w:rsid w:val="00BA7EF5"/>
    <w:rsid w:val="00BE6D54"/>
    <w:rsid w:val="00C23D13"/>
    <w:rsid w:val="00C4108F"/>
    <w:rsid w:val="00C6029E"/>
    <w:rsid w:val="00D12811"/>
    <w:rsid w:val="00D4384A"/>
    <w:rsid w:val="00D56720"/>
    <w:rsid w:val="00D57BEB"/>
    <w:rsid w:val="00D71C49"/>
    <w:rsid w:val="00DA5AED"/>
    <w:rsid w:val="00DB0FC7"/>
    <w:rsid w:val="00E00530"/>
    <w:rsid w:val="00E1122D"/>
    <w:rsid w:val="00E3450F"/>
    <w:rsid w:val="00E71769"/>
    <w:rsid w:val="00EA2107"/>
    <w:rsid w:val="00EF0DA4"/>
    <w:rsid w:val="00F214E1"/>
    <w:rsid w:val="00F37E43"/>
    <w:rsid w:val="00FB59F1"/>
    <w:rsid w:val="00FC7271"/>
    <w:rsid w:val="00FD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CEA2"/>
  <w15:docId w15:val="{3DB17BEC-B876-4C7F-9829-415EA24E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01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01CD"/>
    <w:rPr>
      <w:rFonts w:ascii="Times New Roman" w:hAnsi="Times New Roman" w:cs="Times New Roman"/>
      <w:sz w:val="18"/>
      <w:szCs w:val="18"/>
    </w:rPr>
  </w:style>
  <w:style w:type="character" w:styleId="Hyperlink">
    <w:name w:val="Hyperlink"/>
    <w:basedOn w:val="DefaultParagraphFont"/>
    <w:uiPriority w:val="99"/>
    <w:unhideWhenUsed/>
    <w:rsid w:val="00FD36AE"/>
    <w:rPr>
      <w:color w:val="0000FF"/>
      <w:u w:val="single"/>
    </w:rPr>
  </w:style>
  <w:style w:type="paragraph" w:styleId="NormalWeb">
    <w:name w:val="Normal (Web)"/>
    <w:basedOn w:val="Normal"/>
    <w:uiPriority w:val="99"/>
    <w:semiHidden/>
    <w:unhideWhenUsed/>
    <w:rsid w:val="00FD36AE"/>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FD36AE"/>
    <w:rPr>
      <w:b/>
      <w:bCs/>
    </w:rPr>
  </w:style>
  <w:style w:type="paragraph" w:styleId="Header">
    <w:name w:val="header"/>
    <w:basedOn w:val="Normal"/>
    <w:link w:val="HeaderChar"/>
    <w:uiPriority w:val="99"/>
    <w:unhideWhenUsed/>
    <w:rsid w:val="002C68AC"/>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2C68AC"/>
    <w:rPr>
      <w:rFonts w:asciiTheme="minorHAnsi" w:eastAsiaTheme="minorEastAsia" w:hAnsiTheme="minorHAnsi" w:cstheme="minorBidi"/>
      <w:sz w:val="22"/>
      <w:szCs w:val="22"/>
      <w:lang w:eastAsia="ja-JP"/>
    </w:rPr>
  </w:style>
  <w:style w:type="character" w:styleId="FollowedHyperlink">
    <w:name w:val="FollowedHyperlink"/>
    <w:basedOn w:val="DefaultParagraphFont"/>
    <w:uiPriority w:val="99"/>
    <w:semiHidden/>
    <w:unhideWhenUsed/>
    <w:rsid w:val="0018477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23EA9"/>
    <w:rPr>
      <w:b/>
      <w:bCs/>
    </w:rPr>
  </w:style>
  <w:style w:type="character" w:customStyle="1" w:styleId="CommentSubjectChar">
    <w:name w:val="Comment Subject Char"/>
    <w:basedOn w:val="CommentTextChar"/>
    <w:link w:val="CommentSubject"/>
    <w:uiPriority w:val="99"/>
    <w:semiHidden/>
    <w:rsid w:val="00123EA9"/>
    <w:rPr>
      <w:b/>
      <w:bCs/>
      <w:sz w:val="20"/>
      <w:szCs w:val="20"/>
    </w:rPr>
  </w:style>
  <w:style w:type="paragraph" w:styleId="Revision">
    <w:name w:val="Revision"/>
    <w:hidden/>
    <w:uiPriority w:val="99"/>
    <w:semiHidden/>
    <w:rsid w:val="0012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3576">
      <w:bodyDiv w:val="1"/>
      <w:marLeft w:val="0"/>
      <w:marRight w:val="0"/>
      <w:marTop w:val="0"/>
      <w:marBottom w:val="0"/>
      <w:divBdr>
        <w:top w:val="none" w:sz="0" w:space="0" w:color="auto"/>
        <w:left w:val="none" w:sz="0" w:space="0" w:color="auto"/>
        <w:bottom w:val="none" w:sz="0" w:space="0" w:color="auto"/>
        <w:right w:val="none" w:sz="0" w:space="0" w:color="auto"/>
      </w:divBdr>
    </w:div>
    <w:div w:id="1453479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u7061146.ct.sendgrid.net/wf/click?upn=84Em28S1K9SvtzcUtu04Erx27J8teqqvzCIjoGBAl2M-3D_is-2FHGKxF5cIsxk7P9KD7eagrOD8VKW9w4W6s65dmCtIY2m-2BceaoCIwjJnTu8aJKrjcd0PWy0-2BAAbi5MOmbTL0xraH9HRDvZW77mIzU8hQViJcH-2FGJ639bE5epI6WvmJ8cHCAJLhKcXQdWTR7Jq-2Fxrwc3UcYs-2FuFLof-2Flu0oQvOHSfwKGrbVjWVu9Cuiy54lIG8tO3VhfPIbzUQehsI7XcPmC8DJIKAlh5LLlRNdiEROZLtt4w8hHztg7fGhk9uReQ5TaIPD3VorleMjFQSakJnAaNxW6X9Fw0Dhjin9VYA0i3iI-2FCvsPx0bEKmvmmJHID1-2BxMvAGPHWiSAKz2CLQDcN-2B9uYcEZUIaovs7PMkduI-3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Moseley Carroll USGR</dc:creator>
  <cp:lastModifiedBy>Moseley Carroll USGR</cp:lastModifiedBy>
  <cp:revision>5</cp:revision>
  <dcterms:created xsi:type="dcterms:W3CDTF">2019-08-09T13:40:00Z</dcterms:created>
  <dcterms:modified xsi:type="dcterms:W3CDTF">2019-08-09T14:25:00Z</dcterms:modified>
</cp:coreProperties>
</file>